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28770531"/>
      <w:bookmarkStart w:id="5" w:name="_Toc75413262"/>
      <w:bookmarkStart w:id="6" w:name="_Toc535481117"/>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75413264"/>
      <w:bookmarkStart w:id="11" w:name="_Toc239497785"/>
      <w:bookmarkStart w:id="12" w:name="_Toc528770533"/>
      <w:bookmarkStart w:id="13" w:name="_Toc535481119"/>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r>
        <w:rPr>
          <w:rFonts w:hint="eastAsia" w:ascii="宋体" w:hAnsi="宋体" w:cs="宋体"/>
          <w:color w:val="000000"/>
        </w:rPr>
        <w:t>工程名称</w:t>
      </w:r>
      <w:r>
        <w:rPr>
          <w:rFonts w:ascii="宋体" w:hAnsi="宋体"/>
          <w:color w:val="000000"/>
        </w:rPr>
        <w:t>:</w:t>
      </w:r>
      <w:r>
        <w:rPr>
          <w:rFonts w:hint="eastAsia"/>
        </w:rPr>
        <w:t xml:space="preserve"> 盐城师范学院通榆校区网球场改造工程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597" w:type="dxa"/>
            <w:noWrap w:val="0"/>
            <w:vAlign w:val="center"/>
          </w:tcPr>
          <w:p>
            <w:pPr>
              <w:widowControl/>
              <w:spacing w:line="360" w:lineRule="auto"/>
              <w:jc w:val="center"/>
              <w:rPr>
                <w:szCs w:val="21"/>
              </w:rPr>
            </w:pPr>
            <w:r>
              <w:rPr>
                <w:rFonts w:hint="eastAsia"/>
                <w:szCs w:val="21"/>
              </w:rPr>
              <w:t>1</w:t>
            </w:r>
          </w:p>
        </w:tc>
        <w:tc>
          <w:tcPr>
            <w:tcW w:w="1633" w:type="dxa"/>
            <w:noWrap w:val="0"/>
            <w:vAlign w:val="center"/>
          </w:tcPr>
          <w:p>
            <w:pPr>
              <w:widowControl/>
              <w:spacing w:line="360" w:lineRule="auto"/>
              <w:jc w:val="center"/>
              <w:rPr>
                <w:szCs w:val="21"/>
              </w:rPr>
            </w:pPr>
            <w:r>
              <w:rPr>
                <w:rFonts w:hint="eastAsia"/>
                <w:szCs w:val="21"/>
              </w:rPr>
              <w:t>水性丙烯酸</w:t>
            </w:r>
          </w:p>
        </w:tc>
        <w:tc>
          <w:tcPr>
            <w:tcW w:w="1426" w:type="dxa"/>
            <w:noWrap w:val="0"/>
            <w:vAlign w:val="center"/>
          </w:tcPr>
          <w:p>
            <w:pPr>
              <w:widowControl/>
              <w:spacing w:line="360" w:lineRule="auto"/>
              <w:jc w:val="center"/>
              <w:rPr>
                <w:szCs w:val="21"/>
              </w:rPr>
            </w:pPr>
            <w:r>
              <w:rPr>
                <w:rFonts w:hint="eastAsia"/>
                <w:szCs w:val="21"/>
              </w:rPr>
              <w:t>详见清单</w:t>
            </w:r>
          </w:p>
        </w:tc>
        <w:tc>
          <w:tcPr>
            <w:tcW w:w="3340" w:type="dxa"/>
            <w:noWrap w:val="0"/>
            <w:vAlign w:val="center"/>
          </w:tcPr>
          <w:p>
            <w:pPr>
              <w:pStyle w:val="5"/>
              <w:jc w:val="center"/>
              <w:rPr>
                <w:rFonts w:hint="eastAsia"/>
              </w:rPr>
            </w:pPr>
            <w:r>
              <w:rPr>
                <w:rFonts w:hint="eastAsia"/>
              </w:rPr>
              <w:t>时迈、恰好时、天骄</w:t>
            </w:r>
          </w:p>
        </w:tc>
        <w:tc>
          <w:tcPr>
            <w:tcW w:w="1511" w:type="dxa"/>
            <w:noWrap w:val="0"/>
            <w:vAlign w:val="center"/>
          </w:tcPr>
          <w:p>
            <w:pPr>
              <w:spacing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597" w:type="dxa"/>
            <w:noWrap w:val="0"/>
            <w:vAlign w:val="center"/>
          </w:tcPr>
          <w:p>
            <w:pPr>
              <w:jc w:val="center"/>
              <w:rPr>
                <w:rFonts w:ascii="宋体" w:hAnsi="宋体" w:cs="宋体"/>
                <w:kern w:val="0"/>
                <w:szCs w:val="21"/>
              </w:rPr>
            </w:pPr>
            <w:r>
              <w:rPr>
                <w:rFonts w:ascii="宋体" w:hAnsi="宋体" w:cs="宋体"/>
                <w:kern w:val="0"/>
                <w:szCs w:val="21"/>
              </w:rPr>
              <w:t>2</w:t>
            </w:r>
          </w:p>
        </w:tc>
        <w:tc>
          <w:tcPr>
            <w:tcW w:w="1633" w:type="dxa"/>
            <w:noWrap w:val="0"/>
            <w:vAlign w:val="center"/>
          </w:tcPr>
          <w:p>
            <w:pPr>
              <w:jc w:val="center"/>
              <w:rPr>
                <w:rFonts w:ascii="宋体" w:hAnsi="宋体"/>
                <w:szCs w:val="21"/>
              </w:rPr>
            </w:pPr>
            <w:r>
              <w:rPr>
                <w:rFonts w:hint="eastAsia" w:ascii="宋体" w:hAnsi="宋体"/>
                <w:szCs w:val="21"/>
              </w:rPr>
              <w:t>灯具</w:t>
            </w:r>
          </w:p>
        </w:tc>
        <w:tc>
          <w:tcPr>
            <w:tcW w:w="1426" w:type="dxa"/>
            <w:noWrap w:val="0"/>
            <w:vAlign w:val="center"/>
          </w:tcPr>
          <w:p>
            <w:pPr>
              <w:jc w:val="center"/>
            </w:pPr>
            <w:r>
              <w:rPr>
                <w:rFonts w:hint="eastAsia" w:ascii="宋体" w:hAnsi="宋体" w:cs="宋体"/>
                <w:kern w:val="0"/>
                <w:szCs w:val="21"/>
              </w:rPr>
              <w:t>详见清单</w:t>
            </w:r>
          </w:p>
        </w:tc>
        <w:tc>
          <w:tcPr>
            <w:tcW w:w="3340" w:type="dxa"/>
            <w:noWrap w:val="0"/>
            <w:vAlign w:val="center"/>
          </w:tcPr>
          <w:p>
            <w:pPr>
              <w:jc w:val="center"/>
              <w:rPr>
                <w:rFonts w:ascii="宋体" w:hAnsi="宋体"/>
                <w:szCs w:val="21"/>
              </w:rPr>
            </w:pPr>
            <w:r>
              <w:rPr>
                <w:rFonts w:hint="eastAsia" w:ascii="宋体" w:hAnsi="宋体"/>
                <w:szCs w:val="21"/>
              </w:rPr>
              <w:t>飞利浦、亚明、公牛</w:t>
            </w:r>
          </w:p>
        </w:tc>
        <w:tc>
          <w:tcPr>
            <w:tcW w:w="1511" w:type="dxa"/>
            <w:noWrap w:val="0"/>
            <w:vAlign w:val="center"/>
          </w:tcPr>
          <w:p>
            <w:pPr>
              <w:jc w:val="center"/>
              <w:rPr>
                <w:rFonts w:ascii="宋体" w:hAnsi="宋体" w:cs="宋体"/>
                <w:kern w:val="0"/>
                <w:szCs w:val="21"/>
              </w:rPr>
            </w:pPr>
            <w:r>
              <w:rPr>
                <w:rFonts w:hint="eastAsia" w:ascii="宋体" w:hAnsi="宋体" w:cs="宋体"/>
                <w:kern w:val="0"/>
                <w:szCs w:val="21"/>
              </w:rPr>
              <w:t>优等品</w:t>
            </w:r>
          </w:p>
        </w:tc>
        <w:tc>
          <w:tcPr>
            <w:tcW w:w="999" w:type="dxa"/>
            <w:noWrap w:val="0"/>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7" w:type="dxa"/>
            <w:noWrap w:val="0"/>
            <w:vAlign w:val="center"/>
          </w:tcPr>
          <w:p>
            <w:pPr>
              <w:widowControl/>
              <w:spacing w:before="120" w:beforeLines="50" w:line="360" w:lineRule="auto"/>
              <w:jc w:val="center"/>
              <w:rPr>
                <w:szCs w:val="21"/>
              </w:rPr>
            </w:pPr>
            <w:r>
              <w:rPr>
                <w:szCs w:val="21"/>
              </w:rPr>
              <w:t>3</w:t>
            </w:r>
          </w:p>
        </w:tc>
        <w:tc>
          <w:tcPr>
            <w:tcW w:w="1633" w:type="dxa"/>
            <w:noWrap w:val="0"/>
            <w:vAlign w:val="center"/>
          </w:tcPr>
          <w:p>
            <w:pPr>
              <w:widowControl/>
              <w:spacing w:before="120" w:beforeLines="50" w:line="360" w:lineRule="auto"/>
              <w:jc w:val="center"/>
              <w:rPr>
                <w:szCs w:val="21"/>
              </w:rPr>
            </w:pPr>
            <w:r>
              <w:rPr>
                <w:rFonts w:hint="eastAsia"/>
                <w:szCs w:val="21"/>
              </w:rPr>
              <w:t>配管</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widowControl/>
              <w:spacing w:before="120" w:beforeLines="50" w:line="360" w:lineRule="auto"/>
              <w:jc w:val="center"/>
              <w:rPr>
                <w:szCs w:val="21"/>
              </w:rPr>
            </w:pPr>
            <w:r>
              <w:rPr>
                <w:rFonts w:hint="eastAsia"/>
                <w:szCs w:val="21"/>
              </w:rPr>
              <w:t>联塑、中财、伟星</w:t>
            </w:r>
          </w:p>
        </w:tc>
        <w:tc>
          <w:tcPr>
            <w:tcW w:w="1511" w:type="dxa"/>
            <w:noWrap w:val="0"/>
            <w:vAlign w:val="top"/>
          </w:tcPr>
          <w:p>
            <w:pPr>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7" w:type="dxa"/>
            <w:noWrap w:val="0"/>
            <w:vAlign w:val="center"/>
          </w:tcPr>
          <w:p>
            <w:pPr>
              <w:widowControl/>
              <w:spacing w:before="120" w:beforeLines="50" w:line="360" w:lineRule="auto"/>
              <w:jc w:val="center"/>
              <w:rPr>
                <w:szCs w:val="21"/>
              </w:rPr>
            </w:pPr>
            <w:r>
              <w:rPr>
                <w:szCs w:val="21"/>
              </w:rPr>
              <w:t>4</w:t>
            </w:r>
          </w:p>
        </w:tc>
        <w:tc>
          <w:tcPr>
            <w:tcW w:w="1633" w:type="dxa"/>
            <w:noWrap w:val="0"/>
            <w:vAlign w:val="center"/>
          </w:tcPr>
          <w:p>
            <w:pPr>
              <w:widowControl/>
              <w:spacing w:before="120" w:beforeLines="50" w:line="360" w:lineRule="auto"/>
              <w:jc w:val="center"/>
              <w:rPr>
                <w:szCs w:val="21"/>
              </w:rPr>
            </w:pPr>
            <w:r>
              <w:rPr>
                <w:rFonts w:hint="eastAsia"/>
                <w:szCs w:val="21"/>
              </w:rPr>
              <w:t>配线（含电缆）</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widowControl/>
              <w:spacing w:before="120" w:beforeLines="50" w:line="360" w:lineRule="auto"/>
              <w:jc w:val="center"/>
              <w:rPr>
                <w:szCs w:val="21"/>
              </w:rPr>
            </w:pPr>
            <w:r>
              <w:rPr>
                <w:rFonts w:hint="eastAsia"/>
                <w:szCs w:val="21"/>
              </w:rPr>
              <w:t>远东、江南、上上</w:t>
            </w:r>
          </w:p>
        </w:tc>
        <w:tc>
          <w:tcPr>
            <w:tcW w:w="1511" w:type="dxa"/>
            <w:noWrap w:val="0"/>
            <w:vAlign w:val="top"/>
          </w:tcPr>
          <w:p>
            <w:pPr>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97" w:type="dxa"/>
            <w:noWrap w:val="0"/>
            <w:vAlign w:val="center"/>
          </w:tcPr>
          <w:p>
            <w:pPr>
              <w:widowControl/>
              <w:spacing w:before="120" w:beforeLines="50" w:line="360" w:lineRule="auto"/>
              <w:jc w:val="center"/>
              <w:rPr>
                <w:szCs w:val="21"/>
              </w:rPr>
            </w:pPr>
            <w:r>
              <w:rPr>
                <w:szCs w:val="21"/>
              </w:rPr>
              <w:t>5</w:t>
            </w:r>
          </w:p>
        </w:tc>
        <w:tc>
          <w:tcPr>
            <w:tcW w:w="1633" w:type="dxa"/>
            <w:noWrap w:val="0"/>
            <w:vAlign w:val="center"/>
          </w:tcPr>
          <w:p>
            <w:pPr>
              <w:spacing w:before="120" w:beforeLines="50" w:line="360" w:lineRule="auto"/>
              <w:jc w:val="center"/>
              <w:rPr>
                <w:szCs w:val="21"/>
              </w:rPr>
            </w:pPr>
            <w:r>
              <w:rPr>
                <w:rFonts w:hint="eastAsia"/>
                <w:szCs w:val="21"/>
              </w:rPr>
              <w:t>配电箱元器件</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spacing w:before="120" w:beforeLines="50" w:line="360" w:lineRule="auto"/>
              <w:jc w:val="center"/>
              <w:rPr>
                <w:szCs w:val="21"/>
              </w:rPr>
            </w:pPr>
            <w:r>
              <w:rPr>
                <w:rFonts w:hint="eastAsia"/>
                <w:szCs w:val="21"/>
              </w:rPr>
              <w:t>正泰、德力西、鸿雁</w:t>
            </w:r>
          </w:p>
        </w:tc>
        <w:tc>
          <w:tcPr>
            <w:tcW w:w="1511" w:type="dxa"/>
            <w:noWrap w:val="0"/>
            <w:vAlign w:val="center"/>
          </w:tcPr>
          <w:p>
            <w:pPr>
              <w:widowControl/>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hint="eastAsia" w:ascii="宋体"/>
          <w:b w:val="0"/>
          <w:szCs w:val="21"/>
        </w:rPr>
        <w:t>招标人认可投标品牌的证明材料</w:t>
      </w:r>
      <w:bookmarkEnd w:id="22"/>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3" w:name="_Toc75413269"/>
      <w:bookmarkStart w:id="24" w:name="_Toc24363482"/>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3"/>
      <w:bookmarkEnd w:id="24"/>
    </w:p>
    <w:p>
      <w:pPr>
        <w:rPr>
          <w:rFonts w:hint="eastAsia"/>
        </w:rPr>
      </w:pPr>
    </w:p>
    <w:p>
      <w:bookmarkStart w:id="25" w:name="_GoBack"/>
      <w:bookmarkEnd w:id="25"/>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E052FA1"/>
    <w:rsid w:val="5E05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2024-05-30T07:37:00Z</dcterms:created>
  <dc:creator>于秋成</dc:creator>
  <cp:lastModifiedBy>于秋成</cp:lastModifiedBy>
  <dcterms:modified xsi:type="dcterms:W3CDTF">2024-05-30T07:38:18Z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456EF986F0424E36BF7AC5BF05F94B71_11</vt:lpwstr>
  </property>
</Properties>
</file>